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C07CB" w:rsidTr="00AA407D">
        <w:trPr>
          <w:trHeight w:val="1875"/>
          <w:tblHeader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7CB" w:rsidRPr="00D9181A" w:rsidRDefault="002C07CB" w:rsidP="009B28F1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嘉義縣中埔鄉中埔</w:t>
            </w:r>
            <w:r w:rsidRPr="00D9181A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國民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中</w:t>
            </w:r>
            <w:r w:rsidRPr="00D9181A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學</w:t>
            </w:r>
          </w:p>
          <w:p w:rsidR="002C07CB" w:rsidRPr="00D9181A" w:rsidRDefault="002C07CB" w:rsidP="009B28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D9181A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地方教育發展基金</w:t>
            </w:r>
          </w:p>
          <w:p w:rsidR="002C07CB" w:rsidRPr="00CC2347" w:rsidRDefault="002C07CB" w:rsidP="009B28F1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36"/>
                <w:szCs w:val="36"/>
                <w:u w:val="single"/>
              </w:rPr>
            </w:pP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業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務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計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畫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及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預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算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說</w:t>
            </w:r>
            <w:r w:rsidRPr="00CC2347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</w:t>
            </w:r>
            <w:r w:rsidRPr="00CC234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明</w:t>
            </w:r>
          </w:p>
          <w:p w:rsidR="002C07CB" w:rsidRPr="00280066" w:rsidRDefault="002C07CB" w:rsidP="009B28F1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  <w:u w:val="single"/>
              </w:rPr>
            </w:pPr>
            <w:r w:rsidRPr="00280066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>113</w:t>
            </w:r>
            <w:r w:rsidRPr="0028006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2C07CB" w:rsidRPr="008809C9" w:rsidTr="00AA407D">
        <w:trPr>
          <w:trHeight w:val="1232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07CB" w:rsidRPr="00511111" w:rsidRDefault="002C07CB" w:rsidP="002C07CB">
            <w:pPr>
              <w:pStyle w:val="3"/>
              <w:numPr>
                <w:ilvl w:val="0"/>
                <w:numId w:val="1"/>
              </w:numPr>
              <w:tabs>
                <w:tab w:val="clear" w:pos="1067"/>
              </w:tabs>
              <w:snapToGrid w:val="0"/>
              <w:spacing w:beforeLines="25" w:before="90" w:line="400" w:lineRule="exact"/>
              <w:ind w:leftChars="0" w:left="884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基金概況：</w:t>
            </w:r>
          </w:p>
          <w:p w:rsidR="002C07CB" w:rsidRPr="00511111" w:rsidRDefault="002C07CB" w:rsidP="002C07CB">
            <w:pPr>
              <w:pStyle w:val="3"/>
              <w:numPr>
                <w:ilvl w:val="0"/>
                <w:numId w:val="2"/>
              </w:numPr>
              <w:tabs>
                <w:tab w:val="clear" w:pos="992"/>
              </w:tabs>
              <w:snapToGrid w:val="0"/>
              <w:spacing w:before="0" w:line="400" w:lineRule="exact"/>
              <w:ind w:leftChars="0" w:left="1355" w:hanging="646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設立宗旨及願景：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11" w:left="1701" w:hangingChars="198" w:hanging="475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一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  <w:color w:val="363636"/>
                <w:sz w:val="16"/>
                <w:szCs w:val="16"/>
              </w:rPr>
              <w:t xml:space="preserve"> </w:t>
            </w:r>
            <w:r w:rsidRPr="00511111">
              <w:rPr>
                <w:rFonts w:ascii="Times New Roman" w:hAnsi="Times New Roman"/>
              </w:rPr>
              <w:t>提升教育經費之執行彈性與使用效益，活化學校之經營管理，以達到教育經費專款專用之目標。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12" w:left="1632" w:hangingChars="168" w:hanging="403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二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本校自</w:t>
            </w:r>
            <w:r w:rsidRPr="00511111">
              <w:rPr>
                <w:rFonts w:ascii="Times New Roman" w:hAnsi="Times New Roman"/>
              </w:rPr>
              <w:t>10</w:t>
            </w:r>
            <w:r w:rsidR="00AA407D">
              <w:rPr>
                <w:rFonts w:ascii="Times New Roman" w:hAnsi="Times New Roman" w:hint="eastAsia"/>
              </w:rPr>
              <w:t>0</w:t>
            </w:r>
            <w:r w:rsidRPr="00511111">
              <w:rPr>
                <w:rFonts w:ascii="Times New Roman" w:hAnsi="Times New Roman"/>
              </w:rPr>
              <w:t>年度起依教育經費編列與管理法第</w:t>
            </w:r>
            <w:r w:rsidRPr="00511111">
              <w:rPr>
                <w:rFonts w:ascii="Times New Roman" w:hAnsi="Times New Roman"/>
              </w:rPr>
              <w:t>13</w:t>
            </w:r>
            <w:r w:rsidRPr="00511111">
              <w:rPr>
                <w:rFonts w:ascii="Times New Roman" w:hAnsi="Times New Roman"/>
              </w:rPr>
              <w:t>條規定設置地方教育發展基金，以促進教育經費健全發展，提昇教育經費運用績效。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302" w:left="725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二、施政重點：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495" w:left="1200" w:hangingChars="5" w:hanging="12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充實國民教育，以民族精神教育及國民生活教育為中心，養成德、智、體、群、美五育均衡發展之學生。</w:t>
            </w:r>
          </w:p>
          <w:p w:rsidR="002C07CB" w:rsidRDefault="00910B35" w:rsidP="00910B35">
            <w:pPr>
              <w:pStyle w:val="3"/>
              <w:snapToGrid w:val="0"/>
              <w:spacing w:before="0" w:line="40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三</w:t>
            </w:r>
            <w:r w:rsidRPr="00511111">
              <w:rPr>
                <w:rFonts w:ascii="Times New Roman" w:hAnsi="Times New Roman"/>
              </w:rPr>
              <w:t>、</w:t>
            </w:r>
            <w:r w:rsidR="002C07CB" w:rsidRPr="00511111">
              <w:rPr>
                <w:rFonts w:ascii="Times New Roman" w:hAnsi="Times New Roman"/>
              </w:rPr>
              <w:t>組織概況：</w:t>
            </w:r>
          </w:p>
          <w:p w:rsidR="002C07CB" w:rsidRPr="00F21D78" w:rsidRDefault="002C07CB" w:rsidP="009B28F1">
            <w:pPr>
              <w:pStyle w:val="3"/>
              <w:snapToGrid w:val="0"/>
              <w:spacing w:before="0" w:line="400" w:lineRule="exact"/>
              <w:ind w:leftChars="0" w:left="992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依據「國民小學與國民中學班級編制及教職員員額編制準則」規定，本校設置校長綜理全校校務，下設</w:t>
            </w:r>
            <w:r w:rsidRPr="00511111">
              <w:rPr>
                <w:rFonts w:ascii="Times New Roman" w:hAnsi="Times New Roman"/>
              </w:rPr>
              <w:t>3</w:t>
            </w:r>
            <w:r w:rsidRPr="00511111">
              <w:rPr>
                <w:rFonts w:ascii="Times New Roman" w:hAnsi="Times New Roman"/>
              </w:rPr>
              <w:t>處</w:t>
            </w:r>
            <w:r w:rsidRPr="00511111">
              <w:rPr>
                <w:rFonts w:ascii="Times New Roman" w:hAnsi="Times New Roman"/>
              </w:rPr>
              <w:t>3</w:t>
            </w:r>
            <w:r w:rsidRPr="00511111">
              <w:rPr>
                <w:rFonts w:ascii="Times New Roman" w:hAnsi="Times New Roman"/>
              </w:rPr>
              <w:t>室，編制員額職員</w:t>
            </w:r>
            <w:r w:rsidR="00D90BA0">
              <w:rPr>
                <w:rFonts w:ascii="Times New Roman" w:hAnsi="Times New Roman"/>
              </w:rPr>
              <w:t>7</w:t>
            </w:r>
            <w:r w:rsidRPr="00511111">
              <w:rPr>
                <w:rFonts w:ascii="Times New Roman" w:hAnsi="Times New Roman"/>
              </w:rPr>
              <w:t>人</w:t>
            </w: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內含校長</w:t>
            </w:r>
            <w:r w:rsidRPr="00511111">
              <w:rPr>
                <w:rFonts w:ascii="Times New Roman" w:hAnsi="Times New Roman"/>
              </w:rPr>
              <w:t>1</w:t>
            </w:r>
            <w:r w:rsidRPr="00511111">
              <w:rPr>
                <w:rFonts w:ascii="Times New Roman" w:hAnsi="Times New Roman"/>
              </w:rPr>
              <w:t>人、主任</w:t>
            </w:r>
            <w:r w:rsidRPr="00511111">
              <w:rPr>
                <w:rFonts w:ascii="Times New Roman" w:hAnsi="Times New Roman"/>
              </w:rPr>
              <w:t>2</w:t>
            </w:r>
            <w:r w:rsidRPr="00511111">
              <w:rPr>
                <w:rFonts w:ascii="Times New Roman" w:hAnsi="Times New Roman"/>
              </w:rPr>
              <w:t>人、組長</w:t>
            </w:r>
            <w:r w:rsidRPr="00511111">
              <w:rPr>
                <w:rFonts w:ascii="Times New Roman" w:hAnsi="Times New Roman"/>
              </w:rPr>
              <w:t>3</w:t>
            </w:r>
            <w:r w:rsidR="00D90BA0">
              <w:rPr>
                <w:rFonts w:ascii="Times New Roman" w:hAnsi="Times New Roman"/>
              </w:rPr>
              <w:t>人</w:t>
            </w:r>
            <w:r w:rsidRPr="00511111">
              <w:rPr>
                <w:rFonts w:ascii="Times New Roman" w:hAnsi="Times New Roman"/>
              </w:rPr>
              <w:t>、護理師</w:t>
            </w:r>
            <w:r w:rsidRPr="00511111">
              <w:rPr>
                <w:rFonts w:ascii="Times New Roman" w:hAnsi="Times New Roman"/>
              </w:rPr>
              <w:t>1</w:t>
            </w:r>
            <w:r w:rsidRPr="00511111">
              <w:rPr>
                <w:rFonts w:ascii="Times New Roman" w:hAnsi="Times New Roman"/>
              </w:rPr>
              <w:t>人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、教師</w:t>
            </w:r>
            <w:r w:rsidR="00091D7B">
              <w:rPr>
                <w:rFonts w:ascii="Times New Roman" w:hAnsi="Times New Roman" w:hint="eastAsia"/>
              </w:rPr>
              <w:t>33</w:t>
            </w:r>
            <w:r w:rsidRPr="00511111">
              <w:rPr>
                <w:rFonts w:ascii="Times New Roman" w:hAnsi="Times New Roman"/>
              </w:rPr>
              <w:t>人【內含主任</w:t>
            </w:r>
            <w:r w:rsidRPr="00511111">
              <w:rPr>
                <w:rFonts w:ascii="Times New Roman" w:hAnsi="Times New Roman"/>
              </w:rPr>
              <w:t>4</w:t>
            </w:r>
            <w:r w:rsidRPr="00511111">
              <w:rPr>
                <w:rFonts w:ascii="Times New Roman" w:hAnsi="Times New Roman"/>
              </w:rPr>
              <w:t>人、組長</w:t>
            </w:r>
            <w:r w:rsidRPr="00511111">
              <w:rPr>
                <w:rFonts w:ascii="Times New Roman" w:hAnsi="Times New Roman"/>
              </w:rPr>
              <w:t>10</w:t>
            </w:r>
            <w:r w:rsidRPr="00511111">
              <w:rPr>
                <w:rFonts w:ascii="Times New Roman" w:hAnsi="Times New Roman"/>
              </w:rPr>
              <w:t>人、專任教師</w:t>
            </w:r>
            <w:r w:rsidR="00091D7B">
              <w:rPr>
                <w:rFonts w:ascii="Times New Roman" w:hAnsi="Times New Roman" w:hint="eastAsia"/>
              </w:rPr>
              <w:t>19</w:t>
            </w:r>
            <w:r w:rsidRPr="00511111">
              <w:rPr>
                <w:rFonts w:ascii="Times New Roman" w:hAnsi="Times New Roman"/>
              </w:rPr>
              <w:t>人】、工友</w:t>
            </w:r>
            <w:r>
              <w:rPr>
                <w:rFonts w:ascii="Times New Roman" w:hAnsi="Times New Roman" w:hint="eastAsia"/>
              </w:rPr>
              <w:t>1</w:t>
            </w:r>
            <w:r w:rsidRPr="00511111">
              <w:rPr>
                <w:rFonts w:ascii="Times New Roman" w:hAnsi="Times New Roman"/>
              </w:rPr>
              <w:t>人</w:t>
            </w:r>
            <w:r w:rsidRPr="00CE6DA6"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 w:hint="eastAsia"/>
              </w:rPr>
              <w:t>約僱人員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人</w:t>
            </w:r>
            <w:r w:rsidRPr="00CE6DA6">
              <w:rPr>
                <w:rFonts w:ascii="Times New Roman" w:hAnsi="Times New Roman"/>
              </w:rPr>
              <w:t>共計</w:t>
            </w:r>
            <w:r w:rsidR="00D90BA0">
              <w:rPr>
                <w:rFonts w:ascii="Times New Roman" w:hAnsi="Times New Roman" w:hint="eastAsia"/>
              </w:rPr>
              <w:t>42</w:t>
            </w:r>
            <w:r w:rsidRPr="00CE6DA6">
              <w:rPr>
                <w:rFonts w:ascii="Times New Roman" w:hAnsi="Times New Roman"/>
              </w:rPr>
              <w:t>人；各處室分層業務如下：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00" w:left="2177" w:hangingChars="407" w:hanging="977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教務處：設教學組、註冊組、設備組，掌理課程編排、教學設施、學籍管理、成績考查、教學設備、資訊及網路設備、教具圖書資料供應及教學研究，並與輔導單</w:t>
            </w:r>
            <w:bookmarkStart w:id="0" w:name="_GoBack"/>
            <w:bookmarkEnd w:id="0"/>
            <w:r w:rsidRPr="00511111">
              <w:rPr>
                <w:rFonts w:ascii="Times New Roman" w:hAnsi="Times New Roman"/>
              </w:rPr>
              <w:t>位配合實施教育輔導等事項。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06" w:left="2176" w:hangingChars="401" w:hanging="962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學生事務處：設生活教育組、訓育組、體育組、衛生組，掌理學生民族精神教育、道德教育、生活教育、體育衛生保健、學生團體活動及生活管理，並與輔導單位配合實施生活輔導等事項。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13" w:left="2148" w:hangingChars="382" w:hanging="917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總務處：設文書組、事務組、出納組，掌理學校文書、事務及出納等事項。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11" w:left="2191" w:hangingChars="402" w:hanging="965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輔導室：設資料組、輔導組、特殊教育組，掌理學生資料收集與分析，學生智力、性向、人格等測驗之實施，學生學習興趣成就與志願之調查，輔導與諮詢之進行，並辦理親職教育等事項。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13" w:left="2196" w:hangingChars="402" w:hanging="965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會計室：依法辦理歲計、會計並兼辦統計事項。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07" w:left="2676" w:hangingChars="608" w:hanging="1459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人事室：依法辦理人事管理事項。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afterLines="25" w:after="90" w:line="400" w:lineRule="exact"/>
              <w:ind w:leftChars="0" w:left="0" w:firstLineChars="307" w:firstLine="737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四、基金歸類及屬性：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afterLines="50" w:after="180" w:line="400" w:lineRule="exact"/>
              <w:ind w:leftChars="499" w:left="1200" w:hangingChars="1" w:hanging="2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本基金係預算法第</w:t>
            </w:r>
            <w:r w:rsidRPr="00511111">
              <w:rPr>
                <w:rFonts w:ascii="Times New Roman" w:hAnsi="Times New Roman"/>
              </w:rPr>
              <w:t>4</w:t>
            </w:r>
            <w:r w:rsidRPr="00511111">
              <w:rPr>
                <w:rFonts w:ascii="Times New Roman" w:hAnsi="Times New Roman"/>
              </w:rPr>
              <w:t>條第</w:t>
            </w:r>
            <w:r w:rsidRPr="00511111">
              <w:rPr>
                <w:rFonts w:ascii="Times New Roman" w:hAnsi="Times New Roman"/>
              </w:rPr>
              <w:t>1</w:t>
            </w:r>
            <w:r w:rsidRPr="00511111">
              <w:rPr>
                <w:rFonts w:ascii="Times New Roman" w:hAnsi="Times New Roman"/>
              </w:rPr>
              <w:t>項第</w:t>
            </w:r>
            <w:r w:rsidRPr="00511111">
              <w:rPr>
                <w:rFonts w:ascii="Times New Roman" w:hAnsi="Times New Roman"/>
              </w:rPr>
              <w:t>2</w:t>
            </w:r>
            <w:r w:rsidRPr="00511111">
              <w:rPr>
                <w:rFonts w:ascii="Times New Roman" w:hAnsi="Times New Roman"/>
              </w:rPr>
              <w:t>款所定，特定收入來源，供特殊用途之特別收入基金</w:t>
            </w: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屬政事型基金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，並編製附屬單位預算。</w:t>
            </w:r>
          </w:p>
          <w:p w:rsidR="002C07CB" w:rsidRPr="00511111" w:rsidRDefault="002C07CB" w:rsidP="002C07CB">
            <w:pPr>
              <w:pStyle w:val="3"/>
              <w:numPr>
                <w:ilvl w:val="0"/>
                <w:numId w:val="1"/>
              </w:numPr>
              <w:tabs>
                <w:tab w:val="clear" w:pos="1067"/>
              </w:tabs>
              <w:snapToGrid w:val="0"/>
              <w:spacing w:beforeLines="50" w:before="180" w:line="400" w:lineRule="exact"/>
              <w:ind w:leftChars="0" w:left="612" w:hanging="448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業務計畫：</w:t>
            </w:r>
            <w:r w:rsidRPr="00511111">
              <w:rPr>
                <w:rFonts w:ascii="Times New Roman" w:hAnsi="Times New Roman"/>
              </w:rPr>
              <w:t xml:space="preserve"> 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40" w:lineRule="exact"/>
              <w:ind w:leftChars="277" w:left="2323" w:hangingChars="691" w:hanging="1658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一、基金來源：預算編列</w:t>
            </w:r>
            <w:r>
              <w:rPr>
                <w:rFonts w:ascii="Times New Roman" w:hAnsi="Times New Roman" w:hint="eastAsia"/>
              </w:rPr>
              <w:t>106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1</w:t>
            </w:r>
            <w:r w:rsidR="00AA3F7D">
              <w:rPr>
                <w:rFonts w:ascii="Times New Roman" w:hAnsi="Times New Roman" w:hint="eastAsia"/>
              </w:rPr>
              <w:t>56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元，係政府撥入收入</w:t>
            </w:r>
            <w:r>
              <w:rPr>
                <w:rFonts w:ascii="Times New Roman" w:hAnsi="Times New Roman" w:hint="eastAsia"/>
              </w:rPr>
              <w:t>105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6</w:t>
            </w:r>
            <w:r w:rsidR="00AA3F7D">
              <w:rPr>
                <w:rFonts w:ascii="Times New Roman" w:hAnsi="Times New Roman" w:hint="eastAsia"/>
              </w:rPr>
              <w:t>92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元、財產收入</w:t>
            </w:r>
            <w:r>
              <w:rPr>
                <w:rFonts w:ascii="Times New Roman" w:hAnsi="Times New Roman" w:hint="eastAsia"/>
              </w:rPr>
              <w:t>4</w:t>
            </w:r>
            <w:r w:rsidR="005A1C19">
              <w:rPr>
                <w:rFonts w:ascii="Times New Roman" w:hAnsi="Times New Roman" w:hint="eastAsia"/>
              </w:rPr>
              <w:t>53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</w:t>
            </w:r>
            <w:r w:rsidR="005A1C19" w:rsidRPr="00511111">
              <w:rPr>
                <w:rFonts w:ascii="Times New Roman" w:hAnsi="Times New Roman"/>
              </w:rPr>
              <w:t>、</w:t>
            </w:r>
            <w:r w:rsidR="005A1C19">
              <w:rPr>
                <w:rFonts w:ascii="Times New Roman" w:hAnsi="Times New Roman" w:hint="eastAsia"/>
              </w:rPr>
              <w:t>教學</w:t>
            </w:r>
            <w:r w:rsidR="005A1C19" w:rsidRPr="00511111">
              <w:rPr>
                <w:rFonts w:ascii="Times New Roman" w:hAnsi="Times New Roman"/>
              </w:rPr>
              <w:t>收入</w:t>
            </w:r>
            <w:r w:rsidR="005A1C19">
              <w:rPr>
                <w:rFonts w:ascii="Times New Roman" w:hAnsi="Times New Roman" w:hint="eastAsia"/>
              </w:rPr>
              <w:t>10</w:t>
            </w:r>
            <w:r w:rsidR="005A1C19" w:rsidRPr="00511111">
              <w:rPr>
                <w:rFonts w:ascii="Times New Roman" w:hAnsi="Times New Roman"/>
              </w:rPr>
              <w:t>,000</w:t>
            </w:r>
            <w:r w:rsidR="005A1C19" w:rsidRPr="00511111">
              <w:rPr>
                <w:rFonts w:ascii="Times New Roman" w:hAnsi="Times New Roman"/>
              </w:rPr>
              <w:t>元、</w:t>
            </w:r>
            <w:r w:rsidR="005A1C19">
              <w:rPr>
                <w:rFonts w:ascii="Times New Roman" w:hAnsi="Times New Roman" w:hint="eastAsia"/>
              </w:rPr>
              <w:t>其他</w:t>
            </w:r>
            <w:r w:rsidR="005A1C19" w:rsidRPr="00511111">
              <w:rPr>
                <w:rFonts w:ascii="Times New Roman" w:hAnsi="Times New Roman"/>
              </w:rPr>
              <w:t>收入</w:t>
            </w:r>
            <w:r w:rsidR="002310B3">
              <w:rPr>
                <w:rFonts w:ascii="Times New Roman" w:hAnsi="Times New Roman" w:hint="eastAsia"/>
              </w:rPr>
              <w:t>1</w:t>
            </w:r>
            <w:r w:rsidR="005A1C19" w:rsidRPr="00511111">
              <w:rPr>
                <w:rFonts w:ascii="Times New Roman" w:hAnsi="Times New Roman"/>
              </w:rPr>
              <w:t>,000</w:t>
            </w:r>
            <w:r w:rsidR="005A1C19" w:rsidRPr="00511111">
              <w:rPr>
                <w:rFonts w:ascii="Times New Roman" w:hAnsi="Times New Roman"/>
              </w:rPr>
              <w:t>元</w:t>
            </w:r>
            <w:r w:rsidRPr="00511111">
              <w:rPr>
                <w:rFonts w:ascii="Times New Roman" w:hAnsi="Times New Roman"/>
              </w:rPr>
              <w:t>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-1" w:left="-2" w:firstLineChars="267" w:firstLine="641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lastRenderedPageBreak/>
              <w:t>二、基金用途：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40" w:lineRule="exact"/>
              <w:ind w:leftChars="0" w:left="0" w:firstLineChars="482" w:firstLine="1157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(</w:t>
            </w:r>
            <w:r w:rsidRPr="00511111">
              <w:rPr>
                <w:rFonts w:ascii="Times New Roman" w:hAnsi="Times New Roman"/>
              </w:rPr>
              <w:t>一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國民教育計畫係行政及教學業務預算編列</w:t>
            </w:r>
            <w:r>
              <w:rPr>
                <w:rFonts w:ascii="Times New Roman" w:hAnsi="Times New Roman" w:hint="eastAsia"/>
              </w:rPr>
              <w:t>105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9</w:t>
            </w:r>
            <w:r w:rsidR="00AA3F7D">
              <w:rPr>
                <w:rFonts w:ascii="Times New Roman" w:hAnsi="Times New Roman" w:hint="eastAsia"/>
              </w:rPr>
              <w:t>97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40" w:lineRule="exact"/>
              <w:ind w:leftChars="0" w:left="0" w:firstLineChars="488" w:firstLine="1171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(</w:t>
            </w:r>
            <w:r w:rsidRPr="00511111">
              <w:rPr>
                <w:rFonts w:ascii="Times New Roman" w:hAnsi="Times New Roman"/>
              </w:rPr>
              <w:t>二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建築及設備計畫係購置行政設備預算編列</w:t>
            </w:r>
            <w:r>
              <w:rPr>
                <w:rFonts w:ascii="Times New Roman" w:hAnsi="Times New Roman" w:hint="eastAsia"/>
              </w:rPr>
              <w:t>159,00</w:t>
            </w:r>
            <w:r w:rsidRPr="00511111">
              <w:rPr>
                <w:rFonts w:ascii="Times New Roman" w:hAnsi="Times New Roman"/>
              </w:rPr>
              <w:t>0</w:t>
            </w:r>
            <w:r w:rsidRPr="00511111">
              <w:rPr>
                <w:rFonts w:ascii="Times New Roman" w:hAnsi="Times New Roman"/>
              </w:rPr>
              <w:t>元。</w:t>
            </w:r>
          </w:p>
          <w:p w:rsidR="002C07CB" w:rsidRPr="00511111" w:rsidRDefault="002C07CB" w:rsidP="009B28F1">
            <w:pPr>
              <w:pStyle w:val="3"/>
              <w:snapToGrid w:val="0"/>
              <w:spacing w:beforeLines="25" w:before="90" w:line="400" w:lineRule="exact"/>
              <w:ind w:leftChars="-2" w:left="-5" w:firstLineChars="70" w:firstLine="168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參、預算概要：</w:t>
            </w:r>
          </w:p>
          <w:p w:rsidR="002C07CB" w:rsidRPr="00511111" w:rsidRDefault="002C07CB" w:rsidP="002C07CB">
            <w:pPr>
              <w:pStyle w:val="3"/>
              <w:numPr>
                <w:ilvl w:val="4"/>
                <w:numId w:val="1"/>
              </w:numPr>
              <w:tabs>
                <w:tab w:val="clear" w:pos="2912"/>
              </w:tabs>
              <w:snapToGrid w:val="0"/>
              <w:spacing w:before="0" w:line="400" w:lineRule="exact"/>
              <w:ind w:leftChars="0" w:left="1355" w:hanging="646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基金來源及用途之預計：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05" w:left="1661" w:hangingChars="187" w:hanging="449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一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本年度基金來源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06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AA3F7D">
              <w:rPr>
                <w:rFonts w:ascii="Times New Roman" w:hAnsi="Times New Roman" w:hint="eastAsia"/>
              </w:rPr>
              <w:t>56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元，較上年度預算數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01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375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</w:t>
            </w:r>
            <w:r>
              <w:rPr>
                <w:rFonts w:ascii="Times New Roman" w:hAnsi="Times New Roman" w:hint="eastAsia"/>
              </w:rPr>
              <w:t>增加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7</w:t>
            </w:r>
            <w:r w:rsidR="00AA3F7D">
              <w:rPr>
                <w:rFonts w:ascii="Times New Roman" w:hAnsi="Times New Roman" w:hint="eastAsia"/>
              </w:rPr>
              <w:t>81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元，約</w:t>
            </w:r>
            <w:r>
              <w:rPr>
                <w:rFonts w:ascii="Times New Roman" w:hAnsi="Times New Roman" w:hint="eastAsia"/>
              </w:rPr>
              <w:t>5</w:t>
            </w:r>
            <w:r w:rsidRPr="00511111">
              <w:rPr>
                <w:rFonts w:ascii="Times New Roman" w:hAnsi="Times New Roman"/>
              </w:rPr>
              <w:t>％，主要係人事費</w:t>
            </w:r>
            <w:r>
              <w:rPr>
                <w:rFonts w:ascii="Times New Roman" w:hAnsi="Times New Roman" w:hint="eastAsia"/>
              </w:rPr>
              <w:t>調薪</w:t>
            </w:r>
            <w:r w:rsidRPr="00511111">
              <w:rPr>
                <w:rFonts w:ascii="Times New Roman" w:hAnsi="Times New Roman"/>
              </w:rPr>
              <w:t>支出</w:t>
            </w:r>
            <w:r>
              <w:rPr>
                <w:rFonts w:ascii="Times New Roman" w:hAnsi="Times New Roman" w:hint="eastAsia"/>
              </w:rPr>
              <w:t>增加</w:t>
            </w:r>
            <w:r w:rsidRPr="00511111">
              <w:rPr>
                <w:rFonts w:ascii="Times New Roman" w:hAnsi="Times New Roman"/>
              </w:rPr>
              <w:t>，故縣庫撥款</w:t>
            </w:r>
            <w:r>
              <w:rPr>
                <w:rFonts w:ascii="Times New Roman" w:hAnsi="Times New Roman" w:hint="eastAsia"/>
              </w:rPr>
              <w:t>增加</w:t>
            </w:r>
            <w:r w:rsidRPr="00511111">
              <w:rPr>
                <w:rFonts w:ascii="Times New Roman" w:hAnsi="Times New Roman"/>
              </w:rPr>
              <w:t>所致。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05" w:left="1649" w:hangingChars="182" w:hanging="437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二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本年度基金用途</w:t>
            </w:r>
            <w:r>
              <w:rPr>
                <w:rFonts w:ascii="Times New Roman" w:hAnsi="Times New Roman" w:hint="eastAsia"/>
              </w:rPr>
              <w:t>106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1</w:t>
            </w:r>
            <w:r w:rsidR="00AA3F7D">
              <w:rPr>
                <w:rFonts w:ascii="Times New Roman" w:hAnsi="Times New Roman" w:hint="eastAsia"/>
              </w:rPr>
              <w:t>56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元，較上年度預算數</w:t>
            </w:r>
            <w:r>
              <w:rPr>
                <w:rFonts w:ascii="Times New Roman" w:hAnsi="Times New Roman" w:hint="eastAsia"/>
              </w:rPr>
              <w:t>101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375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</w:t>
            </w:r>
            <w:r>
              <w:rPr>
                <w:rFonts w:ascii="Times New Roman" w:hAnsi="Times New Roman" w:hint="eastAsia"/>
              </w:rPr>
              <w:t>增加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7</w:t>
            </w:r>
            <w:r w:rsidR="00AA3F7D">
              <w:rPr>
                <w:rFonts w:ascii="Times New Roman" w:hAnsi="Times New Roman" w:hint="eastAsia"/>
              </w:rPr>
              <w:t>81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元，約</w:t>
            </w:r>
            <w:r>
              <w:rPr>
                <w:rFonts w:ascii="Times New Roman" w:hAnsi="Times New Roman" w:hint="eastAsia"/>
              </w:rPr>
              <w:t>5</w:t>
            </w:r>
            <w:r w:rsidRPr="00511111">
              <w:rPr>
                <w:rFonts w:ascii="Times New Roman" w:hAnsi="Times New Roman"/>
              </w:rPr>
              <w:t>％，主要係人事費</w:t>
            </w:r>
            <w:r>
              <w:rPr>
                <w:rFonts w:ascii="Times New Roman" w:hAnsi="Times New Roman" w:hint="eastAsia"/>
              </w:rPr>
              <w:t>調薪</w:t>
            </w:r>
            <w:r w:rsidRPr="00511111">
              <w:rPr>
                <w:rFonts w:ascii="Times New Roman" w:hAnsi="Times New Roman"/>
              </w:rPr>
              <w:t>相關支出</w:t>
            </w:r>
            <w:r>
              <w:rPr>
                <w:rFonts w:ascii="Times New Roman" w:hAnsi="Times New Roman" w:hint="eastAsia"/>
              </w:rPr>
              <w:t>增加</w:t>
            </w:r>
            <w:r w:rsidRPr="00511111">
              <w:rPr>
                <w:rFonts w:ascii="Times New Roman" w:hAnsi="Times New Roman"/>
              </w:rPr>
              <w:t>所致。</w:t>
            </w:r>
          </w:p>
          <w:p w:rsidR="002C07CB" w:rsidRPr="00511111" w:rsidRDefault="002C07CB" w:rsidP="002C07CB">
            <w:pPr>
              <w:pStyle w:val="3"/>
              <w:numPr>
                <w:ilvl w:val="4"/>
                <w:numId w:val="1"/>
              </w:numPr>
              <w:tabs>
                <w:tab w:val="clear" w:pos="2912"/>
              </w:tabs>
              <w:snapToGrid w:val="0"/>
              <w:spacing w:before="0" w:line="400" w:lineRule="exact"/>
              <w:ind w:leftChars="0" w:left="1355" w:hanging="646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基金餘絀之預計：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494" w:left="1186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本年度基金來源及用途相抵後，賸餘數為</w:t>
            </w:r>
            <w:r w:rsidRPr="00511111">
              <w:rPr>
                <w:rFonts w:ascii="Times New Roman" w:hAnsi="Times New Roman"/>
              </w:rPr>
              <w:t>0</w:t>
            </w:r>
            <w:r w:rsidRPr="00511111">
              <w:rPr>
                <w:rFonts w:ascii="Times New Roman" w:hAnsi="Times New Roman"/>
              </w:rPr>
              <w:t>元，期初基金餘額為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0,099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元，期末基金餘額為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0,099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元。</w:t>
            </w:r>
          </w:p>
          <w:p w:rsidR="002C07CB" w:rsidRPr="00511111" w:rsidRDefault="002C07CB" w:rsidP="009B28F1">
            <w:pPr>
              <w:pStyle w:val="3"/>
              <w:snapToGrid w:val="0"/>
              <w:spacing w:beforeLines="50" w:before="180" w:line="400" w:lineRule="exact"/>
              <w:ind w:leftChars="70" w:left="571" w:hangingChars="168" w:hanging="403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肆、前年度及上年度已過期間預算執行情形</w:t>
            </w: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前年度決算結果及上年度預算截至</w:t>
            </w:r>
            <w:r>
              <w:rPr>
                <w:rFonts w:ascii="Times New Roman" w:hAnsi="Times New Roman"/>
              </w:rPr>
              <w:t>112</w:t>
            </w:r>
            <w:r w:rsidRPr="00511111">
              <w:rPr>
                <w:rFonts w:ascii="Times New Roman" w:hAnsi="Times New Roman"/>
              </w:rPr>
              <w:t>年</w:t>
            </w:r>
            <w:r w:rsidRPr="00511111">
              <w:rPr>
                <w:rFonts w:ascii="Times New Roman" w:hAnsi="Times New Roman"/>
              </w:rPr>
              <w:t>6</w:t>
            </w:r>
            <w:r w:rsidRPr="00511111">
              <w:rPr>
                <w:rFonts w:ascii="Times New Roman" w:hAnsi="Times New Roman"/>
              </w:rPr>
              <w:t>月</w:t>
            </w:r>
            <w:r w:rsidRPr="00511111">
              <w:rPr>
                <w:rFonts w:ascii="Times New Roman" w:hAnsi="Times New Roman"/>
              </w:rPr>
              <w:t>30</w:t>
            </w:r>
            <w:r w:rsidRPr="00511111">
              <w:rPr>
                <w:rFonts w:ascii="Times New Roman" w:hAnsi="Times New Roman"/>
              </w:rPr>
              <w:t>日執行情形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0" w:left="0" w:firstLineChars="150" w:firstLine="360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  </w:t>
            </w:r>
            <w:r w:rsidRPr="00511111">
              <w:rPr>
                <w:rFonts w:ascii="Times New Roman" w:hAnsi="Times New Roman"/>
              </w:rPr>
              <w:t>一、前年度決算結果：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0" w:left="0" w:firstLineChars="150" w:firstLine="360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      (</w:t>
            </w:r>
            <w:r w:rsidRPr="00511111">
              <w:rPr>
                <w:rFonts w:ascii="Times New Roman" w:hAnsi="Times New Roman"/>
              </w:rPr>
              <w:t>一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基金來源：</w:t>
            </w:r>
            <w:r>
              <w:rPr>
                <w:rFonts w:ascii="Times New Roman" w:hAnsi="Times New Roman"/>
              </w:rPr>
              <w:t>111</w:t>
            </w:r>
            <w:r w:rsidRPr="00511111">
              <w:rPr>
                <w:rFonts w:ascii="Times New Roman" w:hAnsi="Times New Roman"/>
              </w:rPr>
              <w:t>年度預算數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03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412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元，決算數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03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211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991</w:t>
            </w:r>
            <w:r w:rsidRPr="00511111">
              <w:rPr>
                <w:rFonts w:ascii="Times New Roman" w:hAnsi="Times New Roman"/>
              </w:rPr>
              <w:t>元，預算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0" w:left="0" w:firstLineChars="150" w:firstLine="360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                    </w:t>
            </w:r>
            <w:r w:rsidRPr="00511111">
              <w:rPr>
                <w:rFonts w:ascii="Times New Roman" w:hAnsi="Times New Roman"/>
              </w:rPr>
              <w:t>執行率</w:t>
            </w:r>
            <w:r w:rsidRPr="005111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Pr="005111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81</w:t>
            </w:r>
            <w:r w:rsidRPr="00511111">
              <w:rPr>
                <w:rFonts w:ascii="Times New Roman" w:hAnsi="Times New Roman"/>
              </w:rPr>
              <w:t>%</w:t>
            </w:r>
            <w:r w:rsidRPr="00511111">
              <w:rPr>
                <w:rFonts w:ascii="Times New Roman" w:hAnsi="Times New Roman"/>
              </w:rPr>
              <w:t>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0" w:left="0" w:firstLineChars="150" w:firstLine="360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      (</w:t>
            </w:r>
            <w:r w:rsidRPr="00511111">
              <w:rPr>
                <w:rFonts w:ascii="Times New Roman" w:hAnsi="Times New Roman"/>
              </w:rPr>
              <w:t>二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基金用途：</w:t>
            </w:r>
            <w:r>
              <w:rPr>
                <w:rFonts w:ascii="Times New Roman" w:hAnsi="Times New Roman"/>
              </w:rPr>
              <w:t>111</w:t>
            </w:r>
            <w:r w:rsidRPr="00511111">
              <w:rPr>
                <w:rFonts w:ascii="Times New Roman" w:hAnsi="Times New Roman"/>
              </w:rPr>
              <w:t>年度預算數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03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412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元，決算數</w:t>
            </w:r>
            <w:r w:rsidRPr="005111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608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319</w:t>
            </w:r>
            <w:r w:rsidRPr="00511111">
              <w:rPr>
                <w:rFonts w:ascii="Times New Roman" w:hAnsi="Times New Roman"/>
              </w:rPr>
              <w:t>元，預算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0" w:left="0" w:firstLineChars="150" w:firstLine="360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                    </w:t>
            </w:r>
            <w:r w:rsidRPr="00511111">
              <w:rPr>
                <w:rFonts w:ascii="Times New Roman" w:hAnsi="Times New Roman"/>
              </w:rPr>
              <w:t>執行率</w:t>
            </w:r>
            <w:r w:rsidRPr="005111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  <w:r w:rsidRPr="005111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39</w:t>
            </w:r>
            <w:r w:rsidRPr="00511111">
              <w:rPr>
                <w:rFonts w:ascii="Times New Roman" w:hAnsi="Times New Roman"/>
              </w:rPr>
              <w:t>%</w:t>
            </w:r>
            <w:r w:rsidRPr="00511111">
              <w:rPr>
                <w:rFonts w:ascii="Times New Roman" w:hAnsi="Times New Roman"/>
              </w:rPr>
              <w:t>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0" w:left="0" w:firstLineChars="150" w:firstLine="360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 xml:space="preserve">   </w:t>
            </w:r>
            <w:r w:rsidRPr="00511111">
              <w:rPr>
                <w:rFonts w:ascii="Times New Roman" w:hAnsi="Times New Roman"/>
              </w:rPr>
              <w:t>二、上年度已過期間預算執行情形：</w:t>
            </w:r>
          </w:p>
          <w:p w:rsidR="002C07CB" w:rsidRDefault="002C07CB" w:rsidP="009B28F1">
            <w:pPr>
              <w:pStyle w:val="3"/>
              <w:snapToGrid w:val="0"/>
              <w:spacing w:before="0" w:line="400" w:lineRule="exact"/>
              <w:ind w:leftChars="477" w:left="2278" w:hangingChars="472" w:hanging="1133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一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基金來源：</w:t>
            </w:r>
            <w:r>
              <w:rPr>
                <w:rFonts w:ascii="Times New Roman" w:hAnsi="Times New Roman"/>
              </w:rPr>
              <w:t>112</w:t>
            </w:r>
            <w:r w:rsidRPr="00511111">
              <w:rPr>
                <w:rFonts w:ascii="Times New Roman" w:hAnsi="Times New Roman"/>
              </w:rPr>
              <w:t>年度預算數</w:t>
            </w:r>
            <w:r>
              <w:rPr>
                <w:rFonts w:ascii="Times New Roman" w:hAnsi="Times New Roman" w:hint="eastAsia"/>
              </w:rPr>
              <w:t>101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375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元，截至</w:t>
            </w:r>
            <w:r w:rsidRPr="005111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511111">
              <w:rPr>
                <w:rFonts w:ascii="Times New Roman" w:hAnsi="Times New Roman"/>
              </w:rPr>
              <w:t>年</w:t>
            </w:r>
            <w:r w:rsidRPr="00511111">
              <w:rPr>
                <w:rFonts w:ascii="Times New Roman" w:hAnsi="Times New Roman"/>
              </w:rPr>
              <w:t>6</w:t>
            </w:r>
            <w:r w:rsidRPr="00511111">
              <w:rPr>
                <w:rFonts w:ascii="Times New Roman" w:hAnsi="Times New Roman"/>
              </w:rPr>
              <w:t>月底止預算分配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477" w:left="2278" w:hangingChars="472" w:hanging="113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</w:t>
            </w:r>
            <w:r w:rsidRPr="00511111">
              <w:rPr>
                <w:rFonts w:ascii="Times New Roman" w:hAnsi="Times New Roman"/>
              </w:rPr>
              <w:t>數</w:t>
            </w:r>
            <w:r>
              <w:rPr>
                <w:rFonts w:ascii="Times New Roman" w:hAnsi="Times New Roman" w:hint="eastAsia"/>
              </w:rPr>
              <w:t>62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255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</w:t>
            </w:r>
            <w:r w:rsidRPr="00511111">
              <w:rPr>
                <w:rFonts w:ascii="Times New Roman" w:hAnsi="Times New Roman"/>
                <w:sz w:val="28"/>
                <w:szCs w:val="28"/>
              </w:rPr>
              <w:t>，</w:t>
            </w:r>
            <w:r w:rsidRPr="00511111">
              <w:rPr>
                <w:rFonts w:ascii="Times New Roman" w:hAnsi="Times New Roman"/>
              </w:rPr>
              <w:t>累計實收數</w:t>
            </w:r>
            <w:r>
              <w:rPr>
                <w:rFonts w:ascii="Times New Roman" w:hAnsi="Times New Roman" w:hint="eastAsia"/>
              </w:rPr>
              <w:t>89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390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849</w:t>
            </w:r>
            <w:r w:rsidRPr="00511111">
              <w:rPr>
                <w:rFonts w:ascii="Times New Roman" w:hAnsi="Times New Roman"/>
              </w:rPr>
              <w:t>元，預算執行率</w:t>
            </w:r>
            <w:r>
              <w:rPr>
                <w:rFonts w:ascii="Times New Roman" w:hAnsi="Times New Roman" w:hint="eastAsia"/>
              </w:rPr>
              <w:t>144</w:t>
            </w:r>
            <w:r w:rsidRPr="00511111">
              <w:rPr>
                <w:rFonts w:ascii="Times New Roman" w:hAnsi="Times New Roman"/>
              </w:rPr>
              <w:t>%</w:t>
            </w:r>
            <w:r w:rsidRPr="00511111">
              <w:rPr>
                <w:rFonts w:ascii="Times New Roman" w:hAnsi="Times New Roman"/>
              </w:rPr>
              <w:t>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-3" w:left="-7" w:firstLineChars="480" w:firstLine="1152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(</w:t>
            </w:r>
            <w:r w:rsidRPr="00511111">
              <w:rPr>
                <w:rFonts w:ascii="Times New Roman" w:hAnsi="Times New Roman"/>
              </w:rPr>
              <w:t>二</w:t>
            </w:r>
            <w:r w:rsidRPr="00511111">
              <w:rPr>
                <w:rFonts w:ascii="Times New Roman" w:hAnsi="Times New Roman"/>
              </w:rPr>
              <w:t>)</w:t>
            </w:r>
            <w:r w:rsidRPr="00511111">
              <w:rPr>
                <w:rFonts w:ascii="Times New Roman" w:hAnsi="Times New Roman"/>
              </w:rPr>
              <w:t>基金用途：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56" w:left="1334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11111">
              <w:rPr>
                <w:rFonts w:ascii="Times New Roman" w:hAnsi="Times New Roman"/>
              </w:rPr>
              <w:t>國民教育計畫</w:t>
            </w:r>
            <w:r w:rsidRPr="005111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511111">
              <w:rPr>
                <w:rFonts w:ascii="Times New Roman" w:hAnsi="Times New Roman"/>
              </w:rPr>
              <w:t>年度預算數</w:t>
            </w:r>
            <w:r>
              <w:rPr>
                <w:rFonts w:ascii="Times New Roman" w:hAnsi="Times New Roman" w:hint="eastAsia"/>
              </w:rPr>
              <w:t>101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216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元，截至</w:t>
            </w:r>
            <w:r w:rsidRPr="005111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511111">
              <w:rPr>
                <w:rFonts w:ascii="Times New Roman" w:hAnsi="Times New Roman"/>
              </w:rPr>
              <w:t>年</w:t>
            </w:r>
            <w:r w:rsidRPr="00511111">
              <w:rPr>
                <w:rFonts w:ascii="Times New Roman" w:hAnsi="Times New Roman"/>
              </w:rPr>
              <w:t>6</w:t>
            </w:r>
            <w:r w:rsidRPr="00511111">
              <w:rPr>
                <w:rFonts w:ascii="Times New Roman" w:hAnsi="Times New Roman"/>
              </w:rPr>
              <w:t>月底止預算分配數</w:t>
            </w:r>
            <w:r>
              <w:rPr>
                <w:rFonts w:ascii="Times New Roman" w:hAnsi="Times New Roman" w:hint="eastAsia"/>
              </w:rPr>
              <w:t>62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255</w:t>
            </w:r>
            <w:r w:rsidRPr="00511111">
              <w:rPr>
                <w:rFonts w:ascii="Times New Roman" w:hAnsi="Times New Roman"/>
              </w:rPr>
              <w:t>,000</w:t>
            </w:r>
            <w:r w:rsidRPr="00511111">
              <w:rPr>
                <w:rFonts w:ascii="Times New Roman" w:hAnsi="Times New Roman"/>
              </w:rPr>
              <w:t>元，累計實支數</w:t>
            </w:r>
            <w:r w:rsidRPr="00511111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 w:hint="eastAsia"/>
              </w:rPr>
              <w:t>838</w:t>
            </w:r>
            <w:r w:rsidRPr="00511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247</w:t>
            </w:r>
            <w:r w:rsidRPr="00511111">
              <w:rPr>
                <w:rFonts w:ascii="Times New Roman" w:hAnsi="Times New Roman"/>
              </w:rPr>
              <w:t>元，預算執行率</w:t>
            </w:r>
            <w:r>
              <w:rPr>
                <w:rFonts w:ascii="Times New Roman" w:hAnsi="Times New Roman" w:hint="eastAsia"/>
              </w:rPr>
              <w:t>77</w:t>
            </w:r>
            <w:r w:rsidRPr="00511111">
              <w:rPr>
                <w:rFonts w:ascii="Times New Roman" w:hAnsi="Times New Roman"/>
              </w:rPr>
              <w:t>%</w:t>
            </w:r>
            <w:r w:rsidRPr="00511111">
              <w:rPr>
                <w:rFonts w:ascii="Times New Roman" w:hAnsi="Times New Roman"/>
              </w:rPr>
              <w:t>。</w:t>
            </w:r>
          </w:p>
          <w:p w:rsidR="002C07CB" w:rsidRPr="00511111" w:rsidRDefault="002C07CB" w:rsidP="009B28F1">
            <w:pPr>
              <w:pStyle w:val="3"/>
              <w:snapToGrid w:val="0"/>
              <w:spacing w:before="0" w:line="400" w:lineRule="exact"/>
              <w:ind w:leftChars="568" w:left="1363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11111">
              <w:rPr>
                <w:rFonts w:ascii="Times New Roman" w:hAnsi="Times New Roman"/>
              </w:rPr>
              <w:t>建築及設備計畫</w:t>
            </w:r>
            <w:r w:rsidRPr="005111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511111">
              <w:rPr>
                <w:rFonts w:ascii="Times New Roman" w:hAnsi="Times New Roman"/>
              </w:rPr>
              <w:t>年度預算數</w:t>
            </w:r>
            <w:r>
              <w:rPr>
                <w:rFonts w:ascii="Times New Roman" w:hAnsi="Times New Roman" w:hint="eastAsia"/>
              </w:rPr>
              <w:t>159</w:t>
            </w:r>
            <w:r>
              <w:rPr>
                <w:rFonts w:ascii="Times New Roman" w:hAnsi="Times New Roman"/>
              </w:rPr>
              <w:t>,00</w:t>
            </w:r>
            <w:r w:rsidRPr="00511111">
              <w:rPr>
                <w:rFonts w:ascii="Times New Roman" w:hAnsi="Times New Roman"/>
              </w:rPr>
              <w:t>0</w:t>
            </w:r>
            <w:r w:rsidRPr="00511111">
              <w:rPr>
                <w:rFonts w:ascii="Times New Roman" w:hAnsi="Times New Roman"/>
              </w:rPr>
              <w:t>元，截至</w:t>
            </w:r>
            <w:r w:rsidRPr="005111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511111">
              <w:rPr>
                <w:rFonts w:ascii="Times New Roman" w:hAnsi="Times New Roman"/>
              </w:rPr>
              <w:t>年</w:t>
            </w:r>
            <w:r w:rsidRPr="00511111">
              <w:rPr>
                <w:rFonts w:ascii="Times New Roman" w:hAnsi="Times New Roman"/>
              </w:rPr>
              <w:t>6</w:t>
            </w:r>
            <w:r w:rsidRPr="00511111">
              <w:rPr>
                <w:rFonts w:ascii="Times New Roman" w:hAnsi="Times New Roman"/>
              </w:rPr>
              <w:t>月底止預算分配數</w:t>
            </w:r>
            <w:r w:rsidRPr="00511111">
              <w:rPr>
                <w:rFonts w:ascii="Times New Roman" w:hAnsi="Times New Roman"/>
              </w:rPr>
              <w:t>0</w:t>
            </w:r>
            <w:r w:rsidRPr="00511111">
              <w:rPr>
                <w:rFonts w:ascii="Times New Roman" w:hAnsi="Times New Roman"/>
              </w:rPr>
              <w:t>元，累計實支數</w:t>
            </w:r>
            <w:r>
              <w:rPr>
                <w:rFonts w:ascii="Times New Roman" w:hAnsi="Times New Roman" w:hint="eastAsia"/>
              </w:rPr>
              <w:t>76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107</w:t>
            </w:r>
            <w:r w:rsidRPr="00511111">
              <w:rPr>
                <w:rFonts w:ascii="Times New Roman" w:hAnsi="Times New Roman"/>
              </w:rPr>
              <w:t>元，預算執行率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511111">
              <w:rPr>
                <w:rFonts w:ascii="Times New Roman" w:hAnsi="Times New Roman"/>
              </w:rPr>
              <w:t>%</w:t>
            </w:r>
            <w:r w:rsidRPr="00511111">
              <w:rPr>
                <w:rFonts w:ascii="Times New Roman" w:hAnsi="Times New Roman"/>
              </w:rPr>
              <w:t>。</w:t>
            </w:r>
          </w:p>
          <w:p w:rsidR="002C07CB" w:rsidRPr="00511111" w:rsidRDefault="002C07CB" w:rsidP="009B28F1">
            <w:pPr>
              <w:pStyle w:val="3"/>
              <w:snapToGrid w:val="0"/>
              <w:spacing w:beforeLines="25" w:before="90" w:line="400" w:lineRule="exact"/>
              <w:ind w:leftChars="0" w:left="164"/>
              <w:rPr>
                <w:rFonts w:ascii="Times New Roman" w:hAnsi="Times New Roman"/>
              </w:rPr>
            </w:pPr>
            <w:r w:rsidRPr="00511111">
              <w:rPr>
                <w:rFonts w:ascii="Times New Roman" w:hAnsi="Times New Roman"/>
              </w:rPr>
              <w:t>伍、其他：</w:t>
            </w:r>
          </w:p>
          <w:p w:rsidR="002C07CB" w:rsidRDefault="002C07CB" w:rsidP="002C07CB">
            <w:pPr>
              <w:pStyle w:val="3"/>
              <w:snapToGrid w:val="0"/>
              <w:spacing w:before="0" w:line="400" w:lineRule="exact"/>
              <w:ind w:leftChars="266" w:left="664" w:hangingChars="11" w:hanging="26"/>
              <w:rPr>
                <w:rFonts w:cs="Arial Unicode MS"/>
                <w:sz w:val="26"/>
              </w:rPr>
            </w:pPr>
            <w:r w:rsidRPr="00511111">
              <w:rPr>
                <w:rFonts w:ascii="Times New Roman" w:hAnsi="Times New Roman"/>
              </w:rPr>
              <w:t>本校本年度預計普通班</w:t>
            </w:r>
            <w:r>
              <w:rPr>
                <w:rFonts w:ascii="Times New Roman" w:hAnsi="Times New Roman" w:hint="eastAsia"/>
              </w:rPr>
              <w:t>10</w:t>
            </w:r>
            <w:r w:rsidRPr="00511111">
              <w:rPr>
                <w:rFonts w:ascii="Times New Roman" w:hAnsi="Times New Roman"/>
              </w:rPr>
              <w:t>班、特教班</w:t>
            </w:r>
            <w:r w:rsidRPr="00511111">
              <w:rPr>
                <w:rFonts w:ascii="Times New Roman" w:hAnsi="Times New Roman"/>
              </w:rPr>
              <w:t>1</w:t>
            </w:r>
            <w:r w:rsidRPr="00511111">
              <w:rPr>
                <w:rFonts w:ascii="Times New Roman" w:hAnsi="Times New Roman"/>
              </w:rPr>
              <w:t>班、</w:t>
            </w:r>
            <w:r>
              <w:rPr>
                <w:rFonts w:ascii="Times New Roman" w:hAnsi="Times New Roman" w:hint="eastAsia"/>
              </w:rPr>
              <w:t>藝術才能</w:t>
            </w:r>
            <w:r w:rsidRPr="00511111">
              <w:rPr>
                <w:rFonts w:ascii="Times New Roman" w:hAnsi="Times New Roman"/>
              </w:rPr>
              <w:t>班</w:t>
            </w:r>
            <w:r w:rsidRPr="00511111">
              <w:rPr>
                <w:rFonts w:ascii="Times New Roman" w:hAnsi="Times New Roman"/>
              </w:rPr>
              <w:t>1</w:t>
            </w:r>
            <w:r w:rsidRPr="00511111">
              <w:rPr>
                <w:rFonts w:ascii="Times New Roman" w:hAnsi="Times New Roman"/>
              </w:rPr>
              <w:t>班</w:t>
            </w:r>
            <w:r>
              <w:rPr>
                <w:rFonts w:hint="eastAsia"/>
              </w:rPr>
              <w:t>，</w:t>
            </w:r>
            <w:r w:rsidRPr="00511111">
              <w:rPr>
                <w:rFonts w:ascii="Times New Roman" w:hAnsi="Times New Roman"/>
              </w:rPr>
              <w:t>合計</w:t>
            </w:r>
            <w:r>
              <w:rPr>
                <w:rFonts w:ascii="Times New Roman" w:hAnsi="Times New Roman" w:hint="eastAsia"/>
              </w:rPr>
              <w:t>12</w:t>
            </w:r>
            <w:r w:rsidRPr="00511111">
              <w:rPr>
                <w:rFonts w:ascii="Times New Roman" w:hAnsi="Times New Roman"/>
              </w:rPr>
              <w:t>班；預計在生數</w:t>
            </w:r>
            <w:r>
              <w:rPr>
                <w:rFonts w:ascii="Times New Roman" w:hAnsi="Times New Roman" w:hint="eastAsia"/>
              </w:rPr>
              <w:t>233</w:t>
            </w:r>
            <w:r w:rsidRPr="00511111">
              <w:rPr>
                <w:rFonts w:ascii="Times New Roman" w:hAnsi="Times New Roman"/>
              </w:rPr>
              <w:t>人。</w:t>
            </w:r>
          </w:p>
        </w:tc>
      </w:tr>
    </w:tbl>
    <w:p w:rsidR="00580A09" w:rsidRPr="002C07CB" w:rsidRDefault="00580A09" w:rsidP="002C07CB"/>
    <w:sectPr w:rsidR="00580A09" w:rsidRPr="002C07CB" w:rsidSect="00F714A9">
      <w:footerReference w:type="default" r:id="rId7"/>
      <w:pgSz w:w="11906" w:h="16838" w:code="9"/>
      <w:pgMar w:top="720" w:right="720" w:bottom="720" w:left="720" w:header="227" w:footer="227" w:gutter="1134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1B" w:rsidRDefault="00F4731B" w:rsidP="002C07CB">
      <w:r>
        <w:separator/>
      </w:r>
    </w:p>
  </w:endnote>
  <w:endnote w:type="continuationSeparator" w:id="0">
    <w:p w:rsidR="00F4731B" w:rsidRDefault="00F4731B" w:rsidP="002C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753085"/>
      <w:docPartObj>
        <w:docPartGallery w:val="Page Numbers (Bottom of Page)"/>
        <w:docPartUnique/>
      </w:docPartObj>
    </w:sdtPr>
    <w:sdtEndPr/>
    <w:sdtContent>
      <w:p w:rsidR="002C07CB" w:rsidRDefault="002C07CB">
        <w:pPr>
          <w:pStyle w:val="a3"/>
          <w:jc w:val="center"/>
        </w:pPr>
        <w:r>
          <w:t>02056-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0BA0" w:rsidRPr="00D90BA0">
          <w:rPr>
            <w:noProof/>
            <w:lang w:val="zh-TW"/>
          </w:rPr>
          <w:t>2</w:t>
        </w:r>
        <w:r>
          <w:fldChar w:fldCharType="end"/>
        </w:r>
      </w:p>
    </w:sdtContent>
  </w:sdt>
  <w:p w:rsidR="00E24096" w:rsidRPr="00B72733" w:rsidRDefault="00F4731B" w:rsidP="00F4356D">
    <w:pPr>
      <w:pStyle w:val="a3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1B" w:rsidRDefault="00F4731B" w:rsidP="002C07CB">
      <w:r>
        <w:separator/>
      </w:r>
    </w:p>
  </w:footnote>
  <w:footnote w:type="continuationSeparator" w:id="0">
    <w:p w:rsidR="00F4731B" w:rsidRDefault="00F4731B" w:rsidP="002C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90"/>
    <w:multiLevelType w:val="hybridMultilevel"/>
    <w:tmpl w:val="B6288A9A"/>
    <w:lvl w:ilvl="0" w:tplc="531E14F0">
      <w:start w:val="1"/>
      <w:numFmt w:val="taiwaneseCountingThousand"/>
      <w:lvlText w:val="%1、"/>
      <w:lvlJc w:val="left"/>
      <w:pPr>
        <w:tabs>
          <w:tab w:val="num" w:pos="992"/>
        </w:tabs>
        <w:ind w:left="992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7"/>
        </w:tabs>
        <w:ind w:left="13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7"/>
        </w:tabs>
        <w:ind w:left="22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7"/>
        </w:tabs>
        <w:ind w:left="27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7"/>
        </w:tabs>
        <w:ind w:left="32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7"/>
        </w:tabs>
        <w:ind w:left="37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7"/>
        </w:tabs>
        <w:ind w:left="41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80"/>
      </w:pPr>
      <w:rPr>
        <w:rFonts w:cs="Times New Roman"/>
      </w:rPr>
    </w:lvl>
  </w:abstractNum>
  <w:abstractNum w:abstractNumId="1" w15:restartNumberingAfterBreak="0">
    <w:nsid w:val="356A6B4B"/>
    <w:multiLevelType w:val="hybridMultilevel"/>
    <w:tmpl w:val="384E6402"/>
    <w:lvl w:ilvl="0" w:tplc="70888CE2">
      <w:start w:val="1"/>
      <w:numFmt w:val="ideographLegalTraditional"/>
      <w:lvlText w:val="%1、"/>
      <w:lvlJc w:val="left"/>
      <w:pPr>
        <w:tabs>
          <w:tab w:val="num" w:pos="1067"/>
        </w:tabs>
        <w:ind w:left="1067" w:hanging="720"/>
      </w:pPr>
      <w:rPr>
        <w:rFonts w:cs="Times New Roman" w:hint="eastAsia"/>
      </w:rPr>
    </w:lvl>
    <w:lvl w:ilvl="1" w:tplc="03FAE36C">
      <w:start w:val="1"/>
      <w:numFmt w:val="taiwaneseCountingThousand"/>
      <w:lvlText w:val="%2、"/>
      <w:lvlJc w:val="left"/>
      <w:pPr>
        <w:tabs>
          <w:tab w:val="num" w:pos="1472"/>
        </w:tabs>
        <w:ind w:left="1472" w:hanging="645"/>
      </w:pPr>
      <w:rPr>
        <w:rFonts w:cs="Times New Roman" w:hint="eastAsia"/>
      </w:rPr>
    </w:lvl>
    <w:lvl w:ilvl="2" w:tplc="21202656">
      <w:start w:val="1"/>
      <w:numFmt w:val="taiwaneseCountingThousand"/>
      <w:lvlText w:val="（%3）"/>
      <w:lvlJc w:val="left"/>
      <w:pPr>
        <w:tabs>
          <w:tab w:val="num" w:pos="2027"/>
        </w:tabs>
        <w:ind w:left="2027" w:hanging="720"/>
      </w:pPr>
      <w:rPr>
        <w:rFonts w:cs="Times New Roman" w:hint="eastAsia"/>
      </w:rPr>
    </w:lvl>
    <w:lvl w:ilvl="3" w:tplc="A9BAD1B8">
      <w:start w:val="1"/>
      <w:numFmt w:val="taiwaneseCountingThousand"/>
      <w:lvlText w:val="(%4)"/>
      <w:lvlJc w:val="left"/>
      <w:pPr>
        <w:tabs>
          <w:tab w:val="num" w:pos="2507"/>
        </w:tabs>
        <w:ind w:left="2507" w:hanging="720"/>
      </w:pPr>
      <w:rPr>
        <w:rFonts w:ascii="Times New Roman" w:hAnsi="Times New Roman" w:cs="Times New Roman" w:hint="default"/>
      </w:rPr>
    </w:lvl>
    <w:lvl w:ilvl="4" w:tplc="531E14F0">
      <w:start w:val="1"/>
      <w:numFmt w:val="taiwaneseCountingThousand"/>
      <w:lvlText w:val="%5、"/>
      <w:lvlJc w:val="left"/>
      <w:pPr>
        <w:tabs>
          <w:tab w:val="num" w:pos="2912"/>
        </w:tabs>
        <w:ind w:left="2912" w:hanging="645"/>
      </w:pPr>
      <w:rPr>
        <w:rFonts w:cs="Times New Roman" w:hint="eastAsia"/>
      </w:rPr>
    </w:lvl>
    <w:lvl w:ilvl="5" w:tplc="3288F740">
      <w:start w:val="1"/>
      <w:numFmt w:val="taiwaneseCountingThousand"/>
      <w:lvlText w:val="（%6）"/>
      <w:lvlJc w:val="left"/>
      <w:pPr>
        <w:tabs>
          <w:tab w:val="num" w:pos="3467"/>
        </w:tabs>
        <w:ind w:left="3467" w:hanging="72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7"/>
        </w:tabs>
        <w:ind w:left="37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7"/>
        </w:tabs>
        <w:ind w:left="41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B"/>
    <w:rsid w:val="00091D7B"/>
    <w:rsid w:val="002310B3"/>
    <w:rsid w:val="0026585E"/>
    <w:rsid w:val="002C07CB"/>
    <w:rsid w:val="0034734E"/>
    <w:rsid w:val="003E419A"/>
    <w:rsid w:val="004B6BD6"/>
    <w:rsid w:val="00502861"/>
    <w:rsid w:val="00580A09"/>
    <w:rsid w:val="005A1C19"/>
    <w:rsid w:val="005D4CA9"/>
    <w:rsid w:val="006E1661"/>
    <w:rsid w:val="008809C9"/>
    <w:rsid w:val="008B678B"/>
    <w:rsid w:val="00910B35"/>
    <w:rsid w:val="00AA3F7D"/>
    <w:rsid w:val="00AA407D"/>
    <w:rsid w:val="00AD12D6"/>
    <w:rsid w:val="00AF40BC"/>
    <w:rsid w:val="00B17ED6"/>
    <w:rsid w:val="00CC6D80"/>
    <w:rsid w:val="00D45CD6"/>
    <w:rsid w:val="00D90BA0"/>
    <w:rsid w:val="00F4731B"/>
    <w:rsid w:val="00F714A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E6C6F-26A9-42F9-8743-D3F30584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本文3"/>
    <w:basedOn w:val="a"/>
    <w:rsid w:val="002C07CB"/>
    <w:pPr>
      <w:spacing w:before="50" w:line="324" w:lineRule="auto"/>
      <w:ind w:leftChars="400" w:left="960" w:rightChars="50" w:right="120"/>
      <w:jc w:val="both"/>
    </w:pPr>
    <w:rPr>
      <w:rFonts w:ascii="標楷體" w:eastAsia="標楷體" w:hAnsi="標楷體"/>
    </w:rPr>
  </w:style>
  <w:style w:type="paragraph" w:styleId="a3">
    <w:name w:val="footer"/>
    <w:basedOn w:val="a"/>
    <w:link w:val="a4"/>
    <w:uiPriority w:val="99"/>
    <w:rsid w:val="002C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C07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C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7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1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簡菀瑩</cp:lastModifiedBy>
  <cp:revision>2</cp:revision>
  <cp:lastPrinted>2023-08-07T08:59:00Z</cp:lastPrinted>
  <dcterms:created xsi:type="dcterms:W3CDTF">2023-09-13T02:29:00Z</dcterms:created>
  <dcterms:modified xsi:type="dcterms:W3CDTF">2023-09-13T02:29:00Z</dcterms:modified>
</cp:coreProperties>
</file>